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贵州大学管理学院202</w:t>
      </w:r>
      <w:r>
        <w:rPr>
          <w:rFonts w:hint="eastAsia" w:asciiTheme="minorEastAsia" w:hAnsiTheme="minorEastAsia" w:cstheme="minorEastAsia"/>
          <w:b/>
          <w:bCs/>
          <w:sz w:val="36"/>
          <w:szCs w:val="36"/>
          <w:lang w:val="en-US" w:eastAsia="zh-CN"/>
        </w:rPr>
        <w:t>2</w:t>
      </w:r>
      <w:r>
        <w:rPr>
          <w:rFonts w:hint="eastAsia" w:asciiTheme="minorEastAsia" w:hAnsiTheme="minorEastAsia" w:eastAsiaTheme="minorEastAsia" w:cstheme="minorEastAsia"/>
          <w:b/>
          <w:bCs/>
          <w:sz w:val="36"/>
          <w:szCs w:val="36"/>
          <w:lang w:val="en-US" w:eastAsia="zh-CN"/>
        </w:rPr>
        <w:t>年工商管理硕士</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模拟面试时间：2022年3月25日上午8:30-12:00，下午13:00-17:00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eastAsia"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贵州大学管理学院MBA教育中心</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2022年3月22日                 </w:t>
      </w:r>
      <w:bookmarkStart w:id="0" w:name="_GoBack"/>
      <w:bookmarkEnd w:id="0"/>
      <w:r>
        <w:rPr>
          <w:rFonts w:hint="eastAsia" w:asciiTheme="minorEastAsia" w:hAnsiTheme="minorEastAsia" w:cstheme="minorEastAsia"/>
          <w:b/>
          <w:bCs/>
          <w:color w:val="auto"/>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43890"/>
    <w:rsid w:val="06240B64"/>
    <w:rsid w:val="18F72C29"/>
    <w:rsid w:val="29864EE9"/>
    <w:rsid w:val="31525405"/>
    <w:rsid w:val="445F6863"/>
    <w:rsid w:val="4D17349C"/>
    <w:rsid w:val="5B5A7636"/>
    <w:rsid w:val="7600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Viking</cp:lastModifiedBy>
  <dcterms:modified xsi:type="dcterms:W3CDTF">2022-03-22T04:48:03Z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67D9C8DA3DEF40AB98B4DD4391038E31</vt:lpwstr>
  </property>
</Properties>
</file>